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w:t>
      </w:r>
      <w:r>
        <w:rPr>
          <w:sz w:val="24"/>
        </w:rPr>
        <w:t>атель</w:t>
      </w:r>
      <w:r>
        <w:rPr>
          <w:sz w:val="24"/>
        </w:rPr>
        <w:t xml:space="preserve"> обязуется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w:t>
      </w:r>
      <w:r>
        <w:rPr>
          <w:sz w:val="24"/>
        </w:rPr>
        <w:t>ин</w:t>
      </w:r>
      <w:r>
        <w:rPr>
          <w:sz w:val="24"/>
        </w:rPr>
        <w:t xml:space="preserve">ять  </w:t>
      </w:r>
      <w:r>
        <w:rPr>
          <w:sz w:val="24"/>
        </w:rPr>
        <w:t>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rFonts w:ascii="Times New Roman" w:hAnsi="Times New Roman"/>
          <w:sz w:val="24"/>
        </w:rPr>
        <w:t xml:space="preserve"> </w:t>
      </w:r>
      <w:r>
        <w:rPr>
          <w:rFonts w:ascii="Times New Roman" w:hAnsi="Times New Roman"/>
          <w:sz w:val="24"/>
        </w:rPr>
        <w:t xml:space="preserve"> 23:39:0416003:367</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 xml:space="preserve">4964 </w:t>
      </w:r>
      <w:r>
        <w:rPr>
          <w:sz w:val="24"/>
        </w:rPr>
        <w:t>кв.м</w:t>
      </w:r>
      <w:r>
        <w:rPr>
          <w:sz w:val="24"/>
        </w:rPr>
        <w:t>., расположен</w:t>
      </w:r>
      <w:r>
        <w:rPr>
          <w:sz w:val="24"/>
        </w:rPr>
        <w:t xml:space="preserve">ный по адресу: </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Школьненское</w:t>
      </w:r>
      <w:r>
        <w:rPr>
          <w:rFonts w:ascii="Times New Roman" w:hAnsi="Times New Roman"/>
          <w:sz w:val="24"/>
        </w:rPr>
        <w:t xml:space="preserve"> с/п., с. </w:t>
      </w:r>
      <w:r>
        <w:rPr>
          <w:rFonts w:ascii="Times New Roman" w:hAnsi="Times New Roman"/>
          <w:sz w:val="24"/>
        </w:rPr>
        <w:t>Архиповское</w:t>
      </w:r>
      <w:r>
        <w:rPr>
          <w:rFonts w:ascii="Times New Roman" w:hAnsi="Times New Roman"/>
          <w:sz w:val="24"/>
        </w:rPr>
        <w:t>, ул. Молодежная, № 19Б</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ведения личного подсобного хозяйства.</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330205,28</w:t>
      </w:r>
      <w:r>
        <w:rPr>
          <w:b w:val="1"/>
          <w:sz w:val="24"/>
        </w:rPr>
        <w:t xml:space="preserve"> </w:t>
      </w:r>
      <w:r>
        <w:rPr>
          <w:sz w:val="24"/>
        </w:rPr>
        <w:t>руб. (</w:t>
      </w:r>
      <w:r>
        <w:rPr>
          <w:sz w:val="24"/>
        </w:rPr>
        <w:t>триста тридцать тысяч двести пять рублей 28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мельного учас</w:t>
      </w:r>
      <w:r>
        <w:rPr>
          <w:sz w:val="24"/>
        </w:rPr>
        <w:t xml:space="preserve">тка, засчитывается в счет арендной платы по договору </w:t>
      </w:r>
      <w:r>
        <w:rPr>
          <w:sz w:val="24"/>
        </w:rPr>
        <w:t>за первый</w:t>
      </w:r>
      <w:r>
        <w:rPr>
          <w:sz w:val="24"/>
        </w:rPr>
        <w:t xml:space="preserve"> год </w:t>
      </w:r>
      <w:r>
        <w:rPr>
          <w:sz w:val="24"/>
        </w:rPr>
        <w:t>испо</w:t>
      </w:r>
      <w:r>
        <w:rPr>
          <w:sz w:val="24"/>
        </w:rPr>
        <w:t>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rPr>
          <w:sz w:val="24"/>
        </w:rPr>
      </w:pPr>
      <w:r>
        <w:rPr>
          <w:sz w:val="24"/>
        </w:rPr>
        <w:t>2.2. Годовой размер арендной платы устанавливается по результатам торгов и составляет _________ (____________________________________) ру</w:t>
      </w:r>
      <w:r>
        <w:rPr>
          <w:sz w:val="24"/>
        </w:rPr>
        <w:t xml:space="preserve">б. ___ коп. </w:t>
      </w:r>
    </w:p>
    <w:p w14:paraId="11000000">
      <w:pPr>
        <w:ind/>
        <w:jc w:val="both"/>
      </w:pPr>
      <w:r>
        <w:rPr>
          <w:sz w:val="24"/>
        </w:rPr>
        <w:t>По истечении 12 месяцев со дня подписания настоящего Договора, арендная плата, подлежащая уплате, рассчитывается  из годового</w:t>
      </w:r>
      <w:r>
        <w:t xml:space="preserve">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t>19</w:t>
      </w:r>
      <w: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4"/>
        </w:rPr>
      </w:pPr>
      <w:r>
        <w:rPr>
          <w:sz w:val="24"/>
        </w:rPr>
        <w:t>9.1</w:t>
      </w:r>
      <w:r>
        <w:rPr>
          <w:sz w:val="24"/>
        </w:rPr>
        <w:t>.</w:t>
      </w:r>
      <w:r>
        <w:rPr>
          <w:rFonts w:ascii="Times New Roman" w:hAnsi="Times New Roman"/>
          <w:sz w:val="24"/>
        </w:rPr>
        <w:t xml:space="preserve"> Участо</w:t>
      </w:r>
      <w:r>
        <w:rPr>
          <w:sz w:val="24"/>
        </w:rPr>
        <w:t xml:space="preserve">к пересекается охранной зоной </w:t>
      </w:r>
      <w:r>
        <w:rPr>
          <w:sz w:val="24"/>
        </w:rPr>
        <w:t>ВЛ</w:t>
      </w:r>
      <w:r>
        <w:rPr>
          <w:sz w:val="24"/>
        </w:rPr>
        <w:t xml:space="preserve"> 0,4 </w:t>
      </w:r>
      <w:r>
        <w:rPr>
          <w:sz w:val="24"/>
        </w:rPr>
        <w:t>кВ</w:t>
      </w:r>
      <w:r>
        <w:rPr>
          <w:sz w:val="24"/>
        </w:rPr>
        <w:t xml:space="preserve"> В1-667 (ЗОУИТ 23:39-6.1024), расположен</w:t>
      </w:r>
      <w:r>
        <w:rPr>
          <w:sz w:val="24"/>
          <w:highlight w:val="white"/>
        </w:rPr>
        <w:t xml:space="preserve"> в зоне подтопления территории при половодьях и паводках р. </w:t>
      </w:r>
      <w:r>
        <w:rPr>
          <w:sz w:val="24"/>
          <w:highlight w:val="white"/>
        </w:rPr>
        <w:t>Псенафа</w:t>
      </w:r>
      <w:r>
        <w:rPr>
          <w:sz w:val="24"/>
          <w:highlight w:val="white"/>
        </w:rPr>
        <w:t xml:space="preserve"> 1 % обеспеченности. </w:t>
      </w:r>
      <w:r>
        <w:rPr>
          <w:sz w:val="24"/>
          <w:highlight w:val="white"/>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sz w:val="24"/>
          <w:highlight w:val="white"/>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w:t>
      </w:r>
      <w:r>
        <w:rPr>
          <w:sz w:val="24"/>
          <w:highlight w:val="white"/>
        </w:rPr>
        <w:t>осуществление авиационных мер по борьбе с вредными организмами. Необходимо обеспечение инженерной защиты объектов от подтопления и затопления</w:t>
      </w:r>
      <w:r>
        <w:rPr>
          <w:sz w:val="24"/>
        </w:rPr>
        <w:t>.</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Default Paragraph Font"/>
    <w:link w:val="Style_2_ch"/>
  </w:style>
  <w:style w:styleId="Style_2_ch" w:type="character">
    <w:name w:val="Default Paragraph Font"/>
    <w:link w:val="Style_2"/>
  </w:style>
  <w:style w:styleId="Style_3" w:type="paragraph">
    <w:name w:val="toc 2"/>
    <w:next w:val="Style_1"/>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1"/>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Body Text 3"/>
    <w:basedOn w:val="Style_1"/>
    <w:link w:val="Style_7_ch"/>
    <w:pPr>
      <w:spacing w:after="120"/>
      <w:ind/>
    </w:pPr>
    <w:rPr>
      <w:sz w:val="16"/>
    </w:rPr>
  </w:style>
  <w:style w:styleId="Style_7_ch" w:type="character">
    <w:name w:val="Body Text 3"/>
    <w:basedOn w:val="Style_1_ch"/>
    <w:link w:val="Style_7"/>
    <w:rPr>
      <w:sz w:val="16"/>
    </w:rPr>
  </w:style>
  <w:style w:styleId="Style_8" w:type="paragraph">
    <w:name w:val="Body Text Indent 2"/>
    <w:basedOn w:val="Style_1"/>
    <w:link w:val="Style_8_ch"/>
    <w:pPr>
      <w:widowControl w:val="0"/>
      <w:spacing w:after="20" w:before="20"/>
      <w:ind w:firstLine="360" w:left="0" w:right="-8"/>
      <w:jc w:val="both"/>
    </w:pPr>
  </w:style>
  <w:style w:styleId="Style_8_ch" w:type="character">
    <w:name w:val="Body Text Indent 2"/>
    <w:basedOn w:val="Style_1_ch"/>
    <w:link w:val="Style_8"/>
  </w:style>
  <w:style w:styleId="Style_9" w:type="paragraph">
    <w:name w:val="heading 3"/>
    <w:basedOn w:val="Style_1"/>
    <w:next w:val="Style_1"/>
    <w:link w:val="Style_9_ch"/>
    <w:uiPriority w:val="9"/>
    <w:qFormat/>
    <w:pPr>
      <w:keepNext w:val="1"/>
      <w:keepLines w:val="1"/>
      <w:spacing w:after="80" w:before="280"/>
      <w:ind/>
      <w:outlineLvl w:val="2"/>
    </w:pPr>
    <w:rPr>
      <w:b w:val="1"/>
      <w:sz w:val="28"/>
    </w:rPr>
  </w:style>
  <w:style w:styleId="Style_9_ch" w:type="character">
    <w:name w:val="heading 3"/>
    <w:basedOn w:val="Style_1_ch"/>
    <w:link w:val="Style_9"/>
    <w:rPr>
      <w:b w:val="1"/>
      <w:sz w:val="28"/>
    </w:rPr>
  </w:style>
  <w:style w:styleId="Style_10" w:type="paragraph">
    <w:name w:val="Гипертекстовая ссылка"/>
    <w:link w:val="Style_10_ch"/>
    <w:rPr>
      <w:b w:val="1"/>
      <w:color w:val="008000"/>
      <w:sz w:val="20"/>
      <w:u w:val="single"/>
    </w:rPr>
  </w:style>
  <w:style w:styleId="Style_10_ch" w:type="character">
    <w:name w:val="Гипертекстовая ссылка"/>
    <w:link w:val="Style_10"/>
    <w:rPr>
      <w:b w:val="1"/>
      <w:color w:val="008000"/>
      <w:sz w:val="20"/>
      <w:u w:val="single"/>
    </w:rPr>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heading 5"/>
    <w:basedOn w:val="Style_1"/>
    <w:next w:val="Style_1"/>
    <w:link w:val="Style_12_ch"/>
    <w:uiPriority w:val="9"/>
    <w:qFormat/>
    <w:pPr>
      <w:keepNext w:val="1"/>
      <w:keepLines w:val="1"/>
      <w:spacing w:after="40" w:before="220"/>
      <w:ind/>
      <w:outlineLvl w:val="4"/>
    </w:pPr>
    <w:rPr>
      <w:b w:val="1"/>
      <w:sz w:val="22"/>
    </w:rPr>
  </w:style>
  <w:style w:styleId="Style_12_ch" w:type="character">
    <w:name w:val="heading 5"/>
    <w:basedOn w:val="Style_1_ch"/>
    <w:link w:val="Style_12"/>
    <w:rPr>
      <w:b w:val="1"/>
      <w:sz w:val="22"/>
    </w:rPr>
  </w:style>
  <w:style w:styleId="Style_13" w:type="paragraph">
    <w:name w:val="heading 1"/>
    <w:basedOn w:val="Style_1"/>
    <w:next w:val="Style_1"/>
    <w:link w:val="Style_13_ch"/>
    <w:uiPriority w:val="9"/>
    <w:qFormat/>
    <w:pPr>
      <w:keepNext w:val="1"/>
      <w:widowControl w:val="0"/>
      <w:spacing w:line="400" w:lineRule="exact"/>
      <w:ind w:firstLine="0" w:left="3700" w:right="3600"/>
      <w:jc w:val="both"/>
      <w:outlineLvl w:val="0"/>
    </w:pPr>
    <w:rPr>
      <w:b w:val="1"/>
      <w:sz w:val="28"/>
    </w:rPr>
  </w:style>
  <w:style w:styleId="Style_13_ch" w:type="character">
    <w:name w:val="heading 1"/>
    <w:basedOn w:val="Style_1_ch"/>
    <w:link w:val="Style_13"/>
    <w:rPr>
      <w:b w:val="1"/>
      <w:sz w:val="28"/>
    </w:rPr>
  </w:style>
  <w:style w:styleId="Style_14" w:type="paragraph">
    <w:name w:val="Body Text Indent 3"/>
    <w:basedOn w:val="Style_1"/>
    <w:link w:val="Style_14_ch"/>
    <w:pPr>
      <w:spacing w:after="120"/>
      <w:ind w:firstLine="0" w:left="283"/>
    </w:pPr>
    <w:rPr>
      <w:sz w:val="16"/>
    </w:rPr>
  </w:style>
  <w:style w:styleId="Style_14_ch" w:type="character">
    <w:name w:val="Body Text Indent 3"/>
    <w:basedOn w:val="Style_1_ch"/>
    <w:link w:val="Style_14"/>
    <w:rPr>
      <w:sz w:val="16"/>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toc 9"/>
    <w:next w:val="Style_1"/>
    <w:link w:val="Style_19_ch"/>
    <w:uiPriority w:val="39"/>
    <w:pPr>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Таблицы (моноширинный)"/>
    <w:basedOn w:val="Style_1"/>
    <w:next w:val="Style_1"/>
    <w:link w:val="Style_20_ch"/>
    <w:pPr>
      <w:widowControl w:val="0"/>
      <w:ind/>
      <w:jc w:val="both"/>
    </w:pPr>
    <w:rPr>
      <w:rFonts w:ascii="Courier New" w:hAnsi="Courier New"/>
      <w:sz w:val="20"/>
    </w:rPr>
  </w:style>
  <w:style w:styleId="Style_20_ch" w:type="character">
    <w:name w:val="Таблицы (моноширинный)"/>
    <w:basedOn w:val="Style_1_ch"/>
    <w:link w:val="Style_20"/>
    <w:rPr>
      <w:rFonts w:ascii="Courier New" w:hAnsi="Courier New"/>
      <w:sz w:val="20"/>
    </w:rPr>
  </w:style>
  <w:style w:styleId="Style_21" w:type="paragraph">
    <w:name w:val="List Paragraph"/>
    <w:basedOn w:val="Style_1"/>
    <w:link w:val="Style_21_ch"/>
    <w:pPr>
      <w:ind w:firstLine="0" w:left="720"/>
      <w:contextualSpacing w:val="1"/>
    </w:pPr>
  </w:style>
  <w:style w:styleId="Style_21_ch" w:type="character">
    <w:name w:val="List Paragraph"/>
    <w:basedOn w:val="Style_1_ch"/>
    <w:link w:val="Style_21"/>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toc 5"/>
    <w:next w:val="Style_1"/>
    <w:link w:val="Style_23_ch"/>
    <w:uiPriority w:val="39"/>
    <w:pPr>
      <w:ind w:firstLine="0" w:left="800"/>
      <w:jc w:val="left"/>
    </w:pPr>
    <w:rPr>
      <w:rFonts w:ascii="XO Thames" w:hAnsi="XO Thames"/>
      <w:sz w:val="28"/>
    </w:rPr>
  </w:style>
  <w:style w:styleId="Style_23_ch" w:type="character">
    <w:name w:val="toc 5"/>
    <w:link w:val="Style_23"/>
    <w:rPr>
      <w:rFonts w:ascii="XO Thames" w:hAnsi="XO Thames"/>
      <w:sz w:val="28"/>
    </w:rPr>
  </w:style>
  <w:style w:styleId="Style_24" w:type="paragraph">
    <w:name w:val="Body Text 2"/>
    <w:basedOn w:val="Style_1"/>
    <w:link w:val="Style_24_ch"/>
    <w:pPr>
      <w:spacing w:after="120" w:line="480" w:lineRule="auto"/>
      <w:ind/>
    </w:pPr>
  </w:style>
  <w:style w:styleId="Style_24_ch" w:type="character">
    <w:name w:val="Body Text 2"/>
    <w:basedOn w:val="Style_1_ch"/>
    <w:link w:val="Style_24"/>
  </w:style>
  <w:style w:styleId="Style_25" w:type="paragraph">
    <w:name w:val="Цветовое выделение"/>
    <w:link w:val="Style_25_ch"/>
    <w:rPr>
      <w:b w:val="1"/>
      <w:color w:val="000080"/>
      <w:sz w:val="20"/>
    </w:rPr>
  </w:style>
  <w:style w:styleId="Style_25_ch" w:type="character">
    <w:name w:val="Цветовое выделение"/>
    <w:link w:val="Style_25"/>
    <w:rPr>
      <w:b w:val="1"/>
      <w:color w:val="000080"/>
      <w:sz w:val="20"/>
    </w:rPr>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default="1" w:styleId="Style_47" w:type="table">
    <w:name w:val="Normal Table"/>
    <w:tblPr>
      <w:tblInd w:type="dxa" w:w="0"/>
      <w:tblCellMar>
        <w:top w:type="dxa" w:w="0"/>
        <w:left w:type="dxa" w:w="108"/>
        <w:bottom w:type="dxa" w:w="0"/>
        <w:right w:type="dxa" w:w="108"/>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2023-12-23T20:10:50Z</dcterms:modified>
</cp:coreProperties>
</file>